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55AE" w:rsidRDefault="00A555AE" w:rsidP="00A555AE">
      <w:pPr>
        <w:spacing w:after="0" w:line="240" w:lineRule="auto"/>
        <w:jc w:val="center"/>
        <w:rPr>
          <w:rFonts w:ascii="Palatino Linotype" w:hAnsi="Palatino Linotype"/>
          <w:sz w:val="96"/>
          <w:lang w:val="sr-Latn-ME"/>
        </w:rPr>
      </w:pPr>
      <w:r>
        <w:rPr>
          <w:rFonts w:ascii="Palatino Linotype" w:hAnsi="Palatino Linotype" w:cs="Arial"/>
          <w:b/>
          <w:noProof/>
          <w:lang w:val="en-GB" w:eastAsia="en-GB"/>
        </w:rPr>
        <w:drawing>
          <wp:inline distT="0" distB="0" distL="0" distR="0">
            <wp:extent cx="10001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762000"/>
                    </a:xfrm>
                    <a:prstGeom prst="rect">
                      <a:avLst/>
                    </a:prstGeom>
                    <a:noFill/>
                    <a:ln>
                      <a:noFill/>
                    </a:ln>
                  </pic:spPr>
                </pic:pic>
              </a:graphicData>
            </a:graphic>
          </wp:inline>
        </w:drawing>
      </w:r>
    </w:p>
    <w:p w:rsidR="00A555AE" w:rsidRDefault="00A555AE" w:rsidP="00A555AE">
      <w:pPr>
        <w:spacing w:after="0" w:line="240" w:lineRule="auto"/>
        <w:jc w:val="center"/>
        <w:rPr>
          <w:rFonts w:ascii="Palatino Linotype" w:hAnsi="Palatino Linotype"/>
          <w:sz w:val="24"/>
          <w:szCs w:val="28"/>
          <w:lang w:val="sr-Latn-ME"/>
        </w:rPr>
      </w:pPr>
      <w:r>
        <w:rPr>
          <w:rFonts w:ascii="Palatino Linotype" w:hAnsi="Palatino Linotype"/>
          <w:sz w:val="24"/>
          <w:szCs w:val="28"/>
          <w:lang w:val="sr-Latn-ME"/>
        </w:rPr>
        <w:t>CRNA GORA</w:t>
      </w:r>
    </w:p>
    <w:p w:rsidR="00A555AE" w:rsidRDefault="00A555AE" w:rsidP="00A555AE">
      <w:pPr>
        <w:spacing w:after="0" w:line="240" w:lineRule="auto"/>
        <w:jc w:val="center"/>
        <w:rPr>
          <w:rFonts w:ascii="Palatino Linotype" w:hAnsi="Palatino Linotype"/>
          <w:sz w:val="24"/>
          <w:szCs w:val="28"/>
          <w:lang w:val="sr-Latn-ME"/>
        </w:rPr>
      </w:pPr>
      <w:r>
        <w:rPr>
          <w:rFonts w:ascii="Palatino Linotype" w:hAnsi="Palatino Linotype"/>
          <w:sz w:val="24"/>
          <w:szCs w:val="28"/>
          <w:lang w:val="sr-Latn-ME"/>
        </w:rPr>
        <w:t xml:space="preserve">AGENCIJA ZA ELEKTRONSKE KOMUNIKACIJE </w:t>
      </w:r>
    </w:p>
    <w:p w:rsidR="00A555AE" w:rsidRDefault="00A555AE" w:rsidP="00A555AE">
      <w:pPr>
        <w:spacing w:after="0" w:line="240" w:lineRule="auto"/>
        <w:jc w:val="center"/>
        <w:rPr>
          <w:rFonts w:ascii="Palatino Linotype" w:hAnsi="Palatino Linotype"/>
          <w:sz w:val="24"/>
          <w:szCs w:val="28"/>
          <w:lang w:val="sr-Latn-ME"/>
        </w:rPr>
      </w:pPr>
      <w:r>
        <w:rPr>
          <w:rFonts w:ascii="Palatino Linotype" w:hAnsi="Palatino Linotype"/>
          <w:sz w:val="24"/>
          <w:szCs w:val="28"/>
          <w:lang w:val="sr-Latn-ME"/>
        </w:rPr>
        <w:t>I POŠTANSKU DJELATNOST</w:t>
      </w:r>
    </w:p>
    <w:p w:rsidR="00A555AE" w:rsidRDefault="00A555AE" w:rsidP="00A555AE">
      <w:pPr>
        <w:tabs>
          <w:tab w:val="left" w:pos="6422"/>
        </w:tabs>
        <w:spacing w:after="0" w:line="240" w:lineRule="auto"/>
        <w:rPr>
          <w:rFonts w:ascii="Palatino Linotype" w:hAnsi="Palatino Linotype"/>
          <w:sz w:val="32"/>
          <w:szCs w:val="32"/>
          <w:lang w:val="sr-Latn-ME"/>
        </w:rPr>
      </w:pPr>
    </w:p>
    <w:p w:rsidR="00A555AE" w:rsidRDefault="00A555AE" w:rsidP="00A555AE">
      <w:pPr>
        <w:tabs>
          <w:tab w:val="left" w:pos="6422"/>
        </w:tabs>
        <w:spacing w:after="0" w:line="240" w:lineRule="auto"/>
        <w:rPr>
          <w:rFonts w:ascii="Palatino Linotype" w:hAnsi="Palatino Linotype"/>
          <w:sz w:val="32"/>
          <w:szCs w:val="32"/>
          <w:lang w:val="sr-Latn-ME"/>
        </w:rPr>
      </w:pPr>
    </w:p>
    <w:p w:rsidR="00A555AE" w:rsidRDefault="00A555AE" w:rsidP="00A555AE">
      <w:pPr>
        <w:tabs>
          <w:tab w:val="left" w:pos="6422"/>
        </w:tabs>
        <w:spacing w:after="0" w:line="240" w:lineRule="auto"/>
        <w:rPr>
          <w:rFonts w:ascii="Palatino Linotype" w:hAnsi="Palatino Linotype"/>
          <w:sz w:val="32"/>
          <w:szCs w:val="32"/>
          <w:u w:val="single"/>
          <w:lang w:val="sr-Latn-ME"/>
        </w:rPr>
      </w:pPr>
    </w:p>
    <w:p w:rsidR="00A555AE" w:rsidRDefault="00A555AE" w:rsidP="00A555AE">
      <w:pPr>
        <w:tabs>
          <w:tab w:val="left" w:pos="6422"/>
        </w:tabs>
        <w:spacing w:after="0" w:line="240" w:lineRule="auto"/>
        <w:rPr>
          <w:rFonts w:ascii="Palatino Linotype" w:hAnsi="Palatino Linotype"/>
          <w:sz w:val="32"/>
          <w:szCs w:val="32"/>
          <w:u w:val="single"/>
          <w:lang w:val="sr-Latn-ME"/>
        </w:rPr>
      </w:pPr>
    </w:p>
    <w:p w:rsidR="00A555AE" w:rsidRDefault="00A555AE" w:rsidP="00A555AE">
      <w:pPr>
        <w:tabs>
          <w:tab w:val="left" w:pos="6422"/>
        </w:tabs>
        <w:spacing w:after="0" w:line="240" w:lineRule="auto"/>
        <w:rPr>
          <w:rFonts w:ascii="Palatino Linotype" w:hAnsi="Palatino Linotype"/>
          <w:sz w:val="28"/>
          <w:szCs w:val="32"/>
          <w:lang w:val="sr-Latn-ME"/>
        </w:rPr>
      </w:pPr>
      <w:r>
        <w:rPr>
          <w:rFonts w:ascii="Palatino Linotype" w:hAnsi="Palatino Linotype"/>
          <w:sz w:val="28"/>
          <w:szCs w:val="32"/>
          <w:lang w:val="sr-Latn-ME"/>
        </w:rPr>
        <w:tab/>
      </w:r>
      <w:r>
        <w:rPr>
          <w:rFonts w:ascii="Palatino Linotype" w:hAnsi="Palatino Linotype"/>
          <w:sz w:val="28"/>
          <w:szCs w:val="32"/>
          <w:lang w:val="sr-Latn-ME"/>
        </w:rPr>
        <w:tab/>
      </w:r>
      <w:r>
        <w:rPr>
          <w:rFonts w:ascii="Palatino Linotype" w:hAnsi="Palatino Linotype"/>
          <w:sz w:val="28"/>
          <w:szCs w:val="32"/>
          <w:lang w:val="sr-Latn-ME"/>
        </w:rPr>
        <w:tab/>
      </w:r>
      <w:r>
        <w:rPr>
          <w:rFonts w:ascii="Palatino Linotype" w:hAnsi="Palatino Linotype"/>
          <w:sz w:val="28"/>
          <w:szCs w:val="32"/>
          <w:lang w:val="sr-Latn-ME"/>
        </w:rPr>
        <w:tab/>
      </w:r>
    </w:p>
    <w:p w:rsidR="00A555AE" w:rsidRDefault="00A555AE" w:rsidP="00A555AE">
      <w:pPr>
        <w:autoSpaceDE w:val="0"/>
        <w:autoSpaceDN w:val="0"/>
        <w:adjustRightInd w:val="0"/>
        <w:spacing w:after="0" w:line="240" w:lineRule="auto"/>
        <w:jc w:val="right"/>
        <w:rPr>
          <w:rFonts w:ascii="Palatino Linotype" w:hAnsi="Palatino Linotype" w:cs="TT1F3Eo00"/>
          <w:b/>
          <w:sz w:val="28"/>
          <w:lang w:val="sr-Latn-ME"/>
        </w:rPr>
      </w:pPr>
      <w:r>
        <w:rPr>
          <w:rFonts w:ascii="Palatino Linotype" w:hAnsi="Palatino Linotype"/>
          <w:sz w:val="32"/>
          <w:szCs w:val="32"/>
          <w:lang w:val="sr-Latn-ME"/>
        </w:rPr>
        <w:tab/>
      </w:r>
    </w:p>
    <w:p w:rsidR="00A555AE" w:rsidRDefault="00A555AE" w:rsidP="00A555AE">
      <w:pPr>
        <w:spacing w:after="0" w:line="240" w:lineRule="auto"/>
        <w:jc w:val="center"/>
        <w:rPr>
          <w:rFonts w:ascii="Palatino Linotype" w:hAnsi="Palatino Linotype"/>
          <w:b/>
          <w:sz w:val="28"/>
          <w:szCs w:val="28"/>
          <w:lang w:val="sr-Latn-ME"/>
        </w:rPr>
      </w:pPr>
      <w:bookmarkStart w:id="0" w:name="_Toc417640973"/>
    </w:p>
    <w:p w:rsidR="00A555AE" w:rsidRDefault="00A555AE" w:rsidP="00A555AE">
      <w:pPr>
        <w:spacing w:after="0" w:line="240" w:lineRule="auto"/>
        <w:jc w:val="center"/>
        <w:rPr>
          <w:rFonts w:ascii="Palatino Linotype" w:hAnsi="Palatino Linotype"/>
          <w:b/>
          <w:sz w:val="36"/>
          <w:szCs w:val="36"/>
          <w:lang w:val="sr-Latn-ME"/>
        </w:rPr>
      </w:pPr>
    </w:p>
    <w:p w:rsidR="00FA2FAF" w:rsidRDefault="00A555AE" w:rsidP="00A555AE">
      <w:pPr>
        <w:autoSpaceDE w:val="0"/>
        <w:autoSpaceDN w:val="0"/>
        <w:adjustRightInd w:val="0"/>
        <w:spacing w:after="0" w:line="240" w:lineRule="auto"/>
        <w:jc w:val="center"/>
        <w:rPr>
          <w:rFonts w:ascii="Palatino Linotype" w:eastAsiaTheme="minorHAnsi" w:hAnsi="Palatino Linotype" w:cs="Palatino Linotype,Bold"/>
          <w:b/>
          <w:bCs/>
          <w:color w:val="000000"/>
          <w:sz w:val="28"/>
          <w:szCs w:val="28"/>
          <w:lang w:val="sr-Latn-ME" w:eastAsia="en-US"/>
        </w:rPr>
      </w:pPr>
      <w:r w:rsidRPr="00A555AE">
        <w:rPr>
          <w:rFonts w:ascii="Palatino Linotype" w:hAnsi="Palatino Linotype"/>
          <w:b/>
          <w:sz w:val="28"/>
          <w:szCs w:val="28"/>
          <w:lang w:val="sr-Latn-ME"/>
        </w:rPr>
        <w:t xml:space="preserve">Nacrt </w:t>
      </w:r>
      <w:r>
        <w:rPr>
          <w:rFonts w:ascii="Palatino Linotype" w:hAnsi="Palatino Linotype"/>
          <w:b/>
          <w:sz w:val="28"/>
          <w:szCs w:val="28"/>
          <w:lang w:val="sr-Latn-ME"/>
        </w:rPr>
        <w:t xml:space="preserve">Odluke </w:t>
      </w:r>
      <w:r w:rsidRPr="00A555AE">
        <w:rPr>
          <w:rFonts w:ascii="Palatino Linotype" w:eastAsiaTheme="minorHAnsi" w:hAnsi="Palatino Linotype" w:cs="Palatino Linotype,Bold"/>
          <w:b/>
          <w:bCs/>
          <w:color w:val="000000"/>
          <w:sz w:val="28"/>
          <w:szCs w:val="28"/>
          <w:lang w:val="sr-Latn-ME" w:eastAsia="en-US"/>
        </w:rPr>
        <w:t xml:space="preserve">o pokretanju  ponovnog postupka </w:t>
      </w:r>
    </w:p>
    <w:p w:rsidR="00A555AE" w:rsidRPr="00A555AE" w:rsidRDefault="00A555AE" w:rsidP="00A555AE">
      <w:pPr>
        <w:autoSpaceDE w:val="0"/>
        <w:autoSpaceDN w:val="0"/>
        <w:adjustRightInd w:val="0"/>
        <w:spacing w:after="0" w:line="240" w:lineRule="auto"/>
        <w:jc w:val="center"/>
        <w:rPr>
          <w:rFonts w:ascii="Palatino Linotype" w:eastAsiaTheme="minorHAnsi" w:hAnsi="Palatino Linotype" w:cs="Palatino Linotype,Bold"/>
          <w:b/>
          <w:bCs/>
          <w:color w:val="000000"/>
          <w:sz w:val="28"/>
          <w:szCs w:val="28"/>
          <w:lang w:val="sr-Latn-ME" w:eastAsia="en-US"/>
        </w:rPr>
      </w:pPr>
      <w:r w:rsidRPr="00A555AE">
        <w:rPr>
          <w:rFonts w:ascii="Palatino Linotype" w:eastAsiaTheme="minorHAnsi" w:hAnsi="Palatino Linotype" w:cs="Palatino Linotype,Bold"/>
          <w:b/>
          <w:bCs/>
          <w:color w:val="000000"/>
          <w:sz w:val="28"/>
          <w:szCs w:val="28"/>
          <w:lang w:val="sr-Latn-ME" w:eastAsia="en-US"/>
        </w:rPr>
        <w:t>analize relevantnih tržišta</w:t>
      </w:r>
    </w:p>
    <w:p w:rsidR="00A555AE" w:rsidRPr="00A555AE" w:rsidRDefault="00A555AE" w:rsidP="00A555AE">
      <w:pPr>
        <w:framePr w:hSpace="180" w:wrap="around" w:vAnchor="text" w:hAnchor="text" w:y="1"/>
        <w:spacing w:after="0" w:line="240" w:lineRule="auto"/>
        <w:jc w:val="center"/>
        <w:rPr>
          <w:rFonts w:ascii="Palatino Linotype" w:hAnsi="Palatino Linotype"/>
          <w:b/>
          <w:sz w:val="28"/>
          <w:szCs w:val="28"/>
          <w:lang w:val="sr-Latn-ME"/>
        </w:rPr>
      </w:pPr>
    </w:p>
    <w:p w:rsidR="00A555AE" w:rsidRPr="00A555AE" w:rsidRDefault="00A555AE" w:rsidP="00A555AE">
      <w:pPr>
        <w:spacing w:after="0" w:line="240" w:lineRule="auto"/>
        <w:contextualSpacing/>
        <w:jc w:val="center"/>
        <w:rPr>
          <w:rFonts w:ascii="Palatino Linotype" w:hAnsi="Palatino Linotype"/>
          <w:b/>
          <w:sz w:val="28"/>
          <w:szCs w:val="28"/>
          <w:lang w:val="sr-Latn-ME"/>
        </w:rPr>
      </w:pPr>
      <w:r w:rsidRPr="00A555AE">
        <w:rPr>
          <w:rFonts w:ascii="Palatino Linotype" w:hAnsi="Palatino Linotype"/>
          <w:b/>
          <w:sz w:val="28"/>
          <w:szCs w:val="28"/>
          <w:lang w:val="sr-Latn-ME"/>
        </w:rPr>
        <w:t>– Odgovori na komentare –</w:t>
      </w:r>
    </w:p>
    <w:p w:rsidR="00A555AE" w:rsidRDefault="00A555AE" w:rsidP="00A555AE">
      <w:pPr>
        <w:spacing w:after="0" w:line="240" w:lineRule="auto"/>
        <w:jc w:val="center"/>
        <w:rPr>
          <w:rFonts w:ascii="Palatino Linotype" w:hAnsi="Palatino Linotype"/>
          <w:b/>
          <w:sz w:val="36"/>
          <w:szCs w:val="36"/>
          <w:lang w:val="sr-Latn-ME"/>
        </w:rPr>
      </w:pPr>
    </w:p>
    <w:p w:rsidR="00A555AE" w:rsidRDefault="00A555AE" w:rsidP="00A555AE">
      <w:pPr>
        <w:spacing w:after="0" w:line="240" w:lineRule="auto"/>
        <w:jc w:val="center"/>
        <w:rPr>
          <w:rFonts w:ascii="Palatino Linotype" w:hAnsi="Palatino Linotype"/>
          <w:b/>
          <w:sz w:val="28"/>
          <w:szCs w:val="28"/>
          <w:lang w:val="sr-Latn-ME"/>
        </w:rPr>
      </w:pPr>
    </w:p>
    <w:p w:rsidR="00A555AE" w:rsidRDefault="00A555AE" w:rsidP="00A555AE">
      <w:pPr>
        <w:spacing w:after="0" w:line="240" w:lineRule="auto"/>
        <w:jc w:val="center"/>
        <w:rPr>
          <w:rFonts w:ascii="Palatino Linotype" w:hAnsi="Palatino Linotype"/>
          <w:b/>
          <w:sz w:val="28"/>
          <w:szCs w:val="28"/>
          <w:lang w:val="sr-Latn-ME"/>
        </w:rPr>
      </w:pPr>
    </w:p>
    <w:p w:rsidR="00A555AE" w:rsidRDefault="00A555AE" w:rsidP="00A555AE">
      <w:pPr>
        <w:spacing w:after="0" w:line="240" w:lineRule="auto"/>
        <w:jc w:val="center"/>
        <w:rPr>
          <w:rFonts w:ascii="Palatino Linotype" w:hAnsi="Palatino Linotype"/>
          <w:b/>
          <w:sz w:val="28"/>
          <w:szCs w:val="28"/>
          <w:lang w:val="sr-Latn-ME"/>
        </w:rPr>
      </w:pPr>
    </w:p>
    <w:p w:rsidR="00A555AE" w:rsidRDefault="00A555AE" w:rsidP="00A555AE">
      <w:pPr>
        <w:spacing w:after="0" w:line="240" w:lineRule="auto"/>
        <w:jc w:val="center"/>
        <w:rPr>
          <w:rFonts w:ascii="Palatino Linotype" w:hAnsi="Palatino Linotype"/>
          <w:b/>
          <w:sz w:val="28"/>
          <w:szCs w:val="28"/>
          <w:lang w:val="sr-Latn-ME"/>
        </w:rPr>
      </w:pPr>
    </w:p>
    <w:p w:rsidR="00A555AE" w:rsidRDefault="00A555AE" w:rsidP="00A555AE">
      <w:pPr>
        <w:spacing w:after="0" w:line="240" w:lineRule="auto"/>
        <w:jc w:val="center"/>
        <w:rPr>
          <w:rFonts w:ascii="Palatino Linotype" w:hAnsi="Palatino Linotype"/>
          <w:b/>
          <w:sz w:val="28"/>
          <w:szCs w:val="28"/>
          <w:lang w:val="sr-Latn-ME"/>
        </w:rPr>
      </w:pPr>
    </w:p>
    <w:p w:rsidR="00A555AE" w:rsidRDefault="00A555AE" w:rsidP="00A555AE">
      <w:pPr>
        <w:spacing w:after="0" w:line="240" w:lineRule="auto"/>
        <w:jc w:val="center"/>
        <w:rPr>
          <w:rFonts w:ascii="Palatino Linotype" w:hAnsi="Palatino Linotype"/>
          <w:b/>
          <w:sz w:val="28"/>
          <w:szCs w:val="28"/>
          <w:lang w:val="sr-Latn-ME"/>
        </w:rPr>
      </w:pPr>
    </w:p>
    <w:p w:rsidR="00A555AE" w:rsidRDefault="00A555AE" w:rsidP="00A555AE">
      <w:pPr>
        <w:spacing w:after="0" w:line="240" w:lineRule="auto"/>
        <w:jc w:val="center"/>
        <w:rPr>
          <w:rFonts w:ascii="Palatino Linotype" w:hAnsi="Palatino Linotype"/>
          <w:b/>
          <w:sz w:val="28"/>
          <w:szCs w:val="28"/>
          <w:lang w:val="sr-Latn-ME"/>
        </w:rPr>
      </w:pPr>
    </w:p>
    <w:p w:rsidR="00A555AE" w:rsidRDefault="00A555AE" w:rsidP="00A555AE">
      <w:pPr>
        <w:spacing w:after="0" w:line="240" w:lineRule="auto"/>
        <w:jc w:val="center"/>
        <w:rPr>
          <w:rFonts w:ascii="Palatino Linotype" w:hAnsi="Palatino Linotype"/>
          <w:b/>
          <w:sz w:val="28"/>
          <w:szCs w:val="28"/>
          <w:lang w:val="sr-Latn-ME"/>
        </w:rPr>
      </w:pPr>
    </w:p>
    <w:p w:rsidR="00A555AE" w:rsidRDefault="00A555AE" w:rsidP="00A555AE">
      <w:pPr>
        <w:spacing w:after="0" w:line="240" w:lineRule="auto"/>
        <w:jc w:val="center"/>
        <w:rPr>
          <w:rFonts w:ascii="Palatino Linotype" w:hAnsi="Palatino Linotype"/>
          <w:b/>
          <w:sz w:val="28"/>
          <w:szCs w:val="28"/>
          <w:lang w:val="sr-Latn-ME"/>
        </w:rPr>
      </w:pPr>
      <w:bookmarkStart w:id="1" w:name="_Toc15512439"/>
      <w:bookmarkStart w:id="2" w:name="_Toc526762258"/>
      <w:bookmarkStart w:id="3" w:name="_Toc526761939"/>
      <w:bookmarkStart w:id="4" w:name="_Toc519518836"/>
      <w:bookmarkStart w:id="5" w:name="_Toc516645036"/>
      <w:bookmarkStart w:id="6" w:name="_Toc515967717"/>
      <w:bookmarkStart w:id="7" w:name="_Toc514935320"/>
      <w:bookmarkStart w:id="8" w:name="_Toc485288216"/>
      <w:bookmarkStart w:id="9" w:name="_Toc485288158"/>
      <w:bookmarkStart w:id="10" w:name="_Toc432684277"/>
      <w:bookmarkStart w:id="11" w:name="_Toc432683433"/>
      <w:bookmarkEnd w:id="0"/>
    </w:p>
    <w:p w:rsidR="00A555AE" w:rsidRDefault="00A555AE" w:rsidP="00A555AE">
      <w:pPr>
        <w:spacing w:after="0" w:line="240" w:lineRule="auto"/>
        <w:jc w:val="center"/>
        <w:rPr>
          <w:rFonts w:ascii="Palatino Linotype" w:hAnsi="Palatino Linotype"/>
          <w:b/>
          <w:sz w:val="28"/>
          <w:szCs w:val="28"/>
          <w:lang w:val="sr-Latn-ME"/>
        </w:rPr>
      </w:pPr>
    </w:p>
    <w:p w:rsidR="00A555AE" w:rsidRDefault="00A555AE" w:rsidP="00A555AE">
      <w:pPr>
        <w:spacing w:after="0" w:line="240" w:lineRule="auto"/>
        <w:jc w:val="center"/>
        <w:rPr>
          <w:rFonts w:ascii="Palatino Linotype" w:hAnsi="Palatino Linotype"/>
          <w:b/>
          <w:sz w:val="28"/>
          <w:szCs w:val="28"/>
          <w:lang w:val="sr-Latn-ME"/>
        </w:rPr>
      </w:pPr>
    </w:p>
    <w:bookmarkEnd w:id="1"/>
    <w:bookmarkEnd w:id="2"/>
    <w:bookmarkEnd w:id="3"/>
    <w:bookmarkEnd w:id="4"/>
    <w:bookmarkEnd w:id="5"/>
    <w:bookmarkEnd w:id="6"/>
    <w:bookmarkEnd w:id="7"/>
    <w:bookmarkEnd w:id="8"/>
    <w:bookmarkEnd w:id="9"/>
    <w:bookmarkEnd w:id="10"/>
    <w:bookmarkEnd w:id="11"/>
    <w:p w:rsidR="00A555AE" w:rsidRDefault="00A555AE" w:rsidP="00A555AE">
      <w:pPr>
        <w:jc w:val="center"/>
        <w:rPr>
          <w:rFonts w:cs="PalatinoLinotype-Bold"/>
          <w:b/>
          <w:bCs/>
          <w:sz w:val="18"/>
          <w:szCs w:val="20"/>
          <w:lang w:val="sr-Latn-ME"/>
        </w:rPr>
      </w:pPr>
    </w:p>
    <w:p w:rsidR="00A555AE" w:rsidRDefault="00A555AE" w:rsidP="00A555AE">
      <w:pPr>
        <w:jc w:val="center"/>
        <w:rPr>
          <w:rFonts w:ascii="Palatino Linotype" w:hAnsi="Palatino Linotype" w:cs="PalatinoLinotype-Bold"/>
          <w:b/>
          <w:bCs/>
          <w:sz w:val="24"/>
          <w:szCs w:val="24"/>
          <w:lang w:val="sr-Latn-ME"/>
        </w:rPr>
      </w:pPr>
      <w:r>
        <w:rPr>
          <w:rFonts w:ascii="Palatino Linotype" w:hAnsi="Palatino Linotype" w:cs="PalatinoLinotype-Bold"/>
          <w:b/>
          <w:bCs/>
          <w:sz w:val="24"/>
          <w:szCs w:val="24"/>
          <w:lang w:val="sr-Latn-ME"/>
        </w:rPr>
        <w:t>Podgorica, mart 2021. godine</w:t>
      </w:r>
    </w:p>
    <w:p w:rsidR="00A555AE" w:rsidRDefault="00A555AE" w:rsidP="00A555AE">
      <w:pPr>
        <w:spacing w:after="0"/>
        <w:rPr>
          <w:rFonts w:ascii="Palatino Linotype" w:hAnsi="Palatino Linotype" w:cs="PalatinoLinotype-Bold"/>
          <w:b/>
          <w:bCs/>
          <w:sz w:val="24"/>
          <w:szCs w:val="24"/>
          <w:lang w:val="sr-Latn-ME"/>
        </w:rPr>
        <w:sectPr w:rsidR="00A555AE">
          <w:footerReference w:type="default" r:id="rId7"/>
          <w:pgSz w:w="11906" w:h="16838"/>
          <w:pgMar w:top="1134" w:right="1134" w:bottom="1134" w:left="1134" w:header="284" w:footer="284" w:gutter="0"/>
          <w:cols w:space="720"/>
        </w:sectPr>
      </w:pPr>
    </w:p>
    <w:tbl>
      <w:tblPr>
        <w:tblStyle w:val="TableGrid"/>
        <w:tblW w:w="5000" w:type="pct"/>
        <w:tblInd w:w="0" w:type="dxa"/>
        <w:tblLook w:val="04A0" w:firstRow="1" w:lastRow="0" w:firstColumn="1" w:lastColumn="0" w:noHBand="0" w:noVBand="1"/>
      </w:tblPr>
      <w:tblGrid>
        <w:gridCol w:w="4405"/>
        <w:gridCol w:w="4611"/>
      </w:tblGrid>
      <w:tr w:rsidR="00A555AE" w:rsidTr="00A555AE">
        <w:tc>
          <w:tcPr>
            <w:tcW w:w="5000" w:type="pct"/>
            <w:gridSpan w:val="2"/>
            <w:tcBorders>
              <w:top w:val="single" w:sz="4" w:space="0" w:color="auto"/>
              <w:left w:val="single" w:sz="4" w:space="0" w:color="auto"/>
              <w:bottom w:val="single" w:sz="4" w:space="0" w:color="auto"/>
              <w:right w:val="single" w:sz="4" w:space="0" w:color="auto"/>
            </w:tcBorders>
          </w:tcPr>
          <w:p w:rsidR="00A555AE" w:rsidRDefault="00A555AE">
            <w:pPr>
              <w:spacing w:after="0" w:line="240" w:lineRule="auto"/>
              <w:contextualSpacing/>
              <w:jc w:val="center"/>
              <w:rPr>
                <w:rFonts w:cs="PalatinoLinotype-Bold"/>
                <w:b/>
                <w:bCs/>
                <w:noProof/>
                <w:sz w:val="18"/>
                <w:szCs w:val="20"/>
                <w:lang w:val="sr-Latn-ME"/>
              </w:rPr>
            </w:pPr>
          </w:p>
          <w:p w:rsidR="00A555AE" w:rsidRPr="00A555AE" w:rsidRDefault="00A555AE" w:rsidP="00A555AE">
            <w:pPr>
              <w:autoSpaceDE w:val="0"/>
              <w:autoSpaceDN w:val="0"/>
              <w:adjustRightInd w:val="0"/>
              <w:spacing w:after="0" w:line="240" w:lineRule="auto"/>
              <w:jc w:val="center"/>
              <w:rPr>
                <w:rFonts w:ascii="Palatino Linotype" w:eastAsiaTheme="minorHAnsi" w:hAnsi="Palatino Linotype" w:cs="Palatino Linotype,Bold"/>
                <w:b/>
                <w:bCs/>
                <w:color w:val="auto"/>
                <w:lang w:val="sr-Latn-ME" w:eastAsia="en-US"/>
              </w:rPr>
            </w:pPr>
            <w:r w:rsidRPr="00A555AE">
              <w:rPr>
                <w:rFonts w:ascii="Palatino Linotype" w:hAnsi="Palatino Linotype" w:cs="PalatinoLinotype-Bold"/>
                <w:b/>
                <w:bCs/>
                <w:noProof/>
                <w:color w:val="auto"/>
                <w:lang w:val="sr-Latn-ME"/>
              </w:rPr>
              <w:t xml:space="preserve">Nacrt </w:t>
            </w:r>
            <w:r w:rsidRPr="00A555AE">
              <w:rPr>
                <w:rFonts w:ascii="Palatino Linotype" w:hAnsi="Palatino Linotype"/>
                <w:b/>
                <w:color w:val="auto"/>
                <w:lang w:val="sr-Latn-ME"/>
              </w:rPr>
              <w:t>Odluke</w:t>
            </w:r>
            <w:r w:rsidRPr="00A555AE">
              <w:rPr>
                <w:rFonts w:ascii="Palatino Linotype" w:eastAsiaTheme="minorHAnsi" w:hAnsi="Palatino Linotype" w:cs="Palatino Linotype,Bold"/>
                <w:b/>
                <w:bCs/>
                <w:color w:val="auto"/>
                <w:lang w:val="sr-Latn-ME" w:eastAsia="en-US"/>
              </w:rPr>
              <w:t xml:space="preserve"> o pokretanju  ponovnog postupka analize relevantnih tržišta</w:t>
            </w:r>
          </w:p>
          <w:p w:rsidR="00A555AE" w:rsidRDefault="00A555AE">
            <w:pPr>
              <w:spacing w:after="0" w:line="240" w:lineRule="auto"/>
              <w:contextualSpacing/>
              <w:jc w:val="center"/>
              <w:rPr>
                <w:rFonts w:cs="PalatinoLinotype-Bold"/>
                <w:b/>
                <w:bCs/>
                <w:noProof/>
                <w:sz w:val="18"/>
                <w:szCs w:val="20"/>
                <w:lang w:val="sr-Latn-ME"/>
              </w:rPr>
            </w:pPr>
          </w:p>
          <w:p w:rsidR="00A555AE" w:rsidRPr="00A555AE" w:rsidRDefault="00A555AE">
            <w:pPr>
              <w:spacing w:after="0" w:line="240" w:lineRule="auto"/>
              <w:contextualSpacing/>
              <w:jc w:val="center"/>
              <w:rPr>
                <w:rFonts w:cs="PalatinoLinotype-Bold"/>
                <w:b/>
                <w:bCs/>
                <w:noProof/>
                <w:color w:val="auto"/>
                <w:sz w:val="24"/>
                <w:szCs w:val="20"/>
                <w:lang w:val="sr-Latn-ME"/>
              </w:rPr>
            </w:pPr>
            <w:r w:rsidRPr="00A555AE">
              <w:rPr>
                <w:rFonts w:cs="PalatinoLinotype-Bold"/>
                <w:b/>
                <w:bCs/>
                <w:noProof/>
                <w:color w:val="auto"/>
                <w:sz w:val="24"/>
                <w:szCs w:val="20"/>
                <w:lang w:val="sr-Latn-ME"/>
              </w:rPr>
              <w:t xml:space="preserve">–  </w:t>
            </w:r>
            <w:r w:rsidR="006903C0">
              <w:rPr>
                <w:rFonts w:cs="PalatinoLinotype-Bold"/>
                <w:b/>
                <w:bCs/>
                <w:noProof/>
                <w:color w:val="auto"/>
                <w:sz w:val="24"/>
                <w:szCs w:val="20"/>
                <w:lang w:val="sr-Latn-ME"/>
              </w:rPr>
              <w:t>Odgovor</w:t>
            </w:r>
            <w:r>
              <w:rPr>
                <w:rFonts w:cs="PalatinoLinotype-Bold"/>
                <w:b/>
                <w:bCs/>
                <w:noProof/>
                <w:color w:val="auto"/>
                <w:sz w:val="24"/>
                <w:szCs w:val="20"/>
                <w:lang w:val="sr-Latn-ME"/>
              </w:rPr>
              <w:t xml:space="preserve"> na komentar</w:t>
            </w:r>
            <w:r w:rsidRPr="00A555AE">
              <w:rPr>
                <w:rFonts w:cs="PalatinoLinotype-Bold"/>
                <w:b/>
                <w:bCs/>
                <w:noProof/>
                <w:color w:val="auto"/>
                <w:sz w:val="24"/>
                <w:szCs w:val="20"/>
                <w:lang w:val="sr-Latn-ME"/>
              </w:rPr>
              <w:t xml:space="preserve">– </w:t>
            </w:r>
          </w:p>
          <w:p w:rsidR="00A555AE" w:rsidRDefault="00A555AE">
            <w:pPr>
              <w:spacing w:after="0" w:line="240" w:lineRule="auto"/>
              <w:contextualSpacing/>
              <w:jc w:val="center"/>
              <w:rPr>
                <w:rFonts w:cs="PalatinoLinotype-Bold"/>
                <w:b/>
                <w:bCs/>
                <w:noProof/>
                <w:sz w:val="18"/>
                <w:szCs w:val="20"/>
                <w:lang w:val="sr-Latn-ME"/>
              </w:rPr>
            </w:pPr>
            <w:bookmarkStart w:id="12" w:name="_GoBack"/>
            <w:bookmarkEnd w:id="12"/>
          </w:p>
        </w:tc>
      </w:tr>
      <w:tr w:rsidR="007B48F1" w:rsidTr="005C1863">
        <w:tc>
          <w:tcPr>
            <w:tcW w:w="24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B48F1" w:rsidRPr="007B48F1" w:rsidRDefault="007B48F1" w:rsidP="005234DD">
            <w:pPr>
              <w:spacing w:after="0" w:line="240" w:lineRule="auto"/>
              <w:contextualSpacing/>
              <w:jc w:val="center"/>
              <w:rPr>
                <w:rFonts w:cs="PalatinoLinotype-Bold"/>
                <w:b/>
                <w:bCs/>
                <w:noProof/>
                <w:color w:val="auto"/>
                <w:szCs w:val="20"/>
                <w:lang w:val="sr-Latn-ME"/>
              </w:rPr>
            </w:pPr>
            <w:r w:rsidRPr="007B48F1">
              <w:rPr>
                <w:rFonts w:cs="PalatinoLinotype-Bold"/>
                <w:b/>
                <w:bCs/>
                <w:noProof/>
                <w:color w:val="auto"/>
                <w:szCs w:val="20"/>
                <w:lang w:val="sr-Latn-ME"/>
              </w:rPr>
              <w:t xml:space="preserve">Komentar </w:t>
            </w:r>
            <w:r w:rsidR="006903C0">
              <w:rPr>
                <w:rFonts w:cs="PalatinoLinotype-Bold"/>
                <w:b/>
                <w:bCs/>
                <w:noProof/>
                <w:color w:val="auto"/>
                <w:sz w:val="24"/>
                <w:szCs w:val="20"/>
                <w:lang w:val="sr-Latn-ME"/>
              </w:rPr>
              <w:t>Crnogorskog Telekoma</w:t>
            </w:r>
          </w:p>
        </w:tc>
        <w:tc>
          <w:tcPr>
            <w:tcW w:w="25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B48F1" w:rsidRPr="007B48F1" w:rsidRDefault="007B48F1" w:rsidP="005234DD">
            <w:pPr>
              <w:spacing w:after="0" w:line="240" w:lineRule="auto"/>
              <w:contextualSpacing/>
              <w:jc w:val="center"/>
              <w:rPr>
                <w:b/>
                <w:noProof/>
                <w:color w:val="auto"/>
                <w:lang w:val="sr-Latn-ME"/>
              </w:rPr>
            </w:pPr>
            <w:r w:rsidRPr="007B48F1">
              <w:rPr>
                <w:rFonts w:cs="PalatinoLinotype-Bold"/>
                <w:b/>
                <w:bCs/>
                <w:noProof/>
                <w:color w:val="auto"/>
                <w:szCs w:val="20"/>
                <w:lang w:val="sr-Latn-ME"/>
              </w:rPr>
              <w:t>Odgovor Agencije</w:t>
            </w:r>
          </w:p>
        </w:tc>
      </w:tr>
      <w:tr w:rsidR="007B48F1" w:rsidTr="005C1863">
        <w:trPr>
          <w:trHeight w:val="711"/>
        </w:trPr>
        <w:tc>
          <w:tcPr>
            <w:tcW w:w="2443" w:type="pct"/>
            <w:tcBorders>
              <w:top w:val="single" w:sz="4" w:space="0" w:color="auto"/>
              <w:left w:val="single" w:sz="4" w:space="0" w:color="auto"/>
              <w:bottom w:val="single" w:sz="4" w:space="0" w:color="auto"/>
              <w:right w:val="single" w:sz="4" w:space="0" w:color="auto"/>
            </w:tcBorders>
          </w:tcPr>
          <w:p w:rsidR="007B48F1" w:rsidRPr="006C0638" w:rsidRDefault="00AE02D2" w:rsidP="006C0638">
            <w:pPr>
              <w:pStyle w:val="NoSpacing"/>
              <w:jc w:val="both"/>
              <w:rPr>
                <w:rFonts w:ascii="Palatino Linotype" w:hAnsi="Palatino Linotype"/>
                <w:color w:val="auto"/>
              </w:rPr>
            </w:pPr>
            <w:r w:rsidRPr="006C0638">
              <w:rPr>
                <w:rFonts w:ascii="Palatino Linotype" w:hAnsi="Palatino Linotype"/>
                <w:color w:val="auto"/>
              </w:rPr>
              <w:t>Iako je poznato da su navedena tržišta</w:t>
            </w:r>
            <w:r w:rsidR="00111993" w:rsidRPr="006C0638">
              <w:rPr>
                <w:rFonts w:ascii="Palatino Linotype" w:hAnsi="Palatino Linotype"/>
                <w:color w:val="auto"/>
              </w:rPr>
              <w:t xml:space="preserve"> u nacrtu Odluke </w:t>
            </w:r>
            <w:r w:rsidRPr="006C0638">
              <w:rPr>
                <w:rFonts w:ascii="Palatino Linotype" w:hAnsi="Palatino Linotype"/>
                <w:color w:val="auto"/>
              </w:rPr>
              <w:t xml:space="preserve"> prepoznata </w:t>
            </w:r>
            <w:r w:rsidR="00111993" w:rsidRPr="006C0638">
              <w:rPr>
                <w:rFonts w:ascii="Palatino Linotype" w:hAnsi="Palatino Linotype"/>
                <w:color w:val="auto"/>
              </w:rPr>
              <w:t xml:space="preserve">u Evropskoj uniji </w:t>
            </w:r>
            <w:r w:rsidRPr="006C0638">
              <w:rPr>
                <w:rFonts w:ascii="Palatino Linotype" w:hAnsi="Palatino Linotype"/>
                <w:color w:val="auto"/>
              </w:rPr>
              <w:t>kao relevantna tržišta bez</w:t>
            </w:r>
            <w:r w:rsidR="00111993" w:rsidRPr="006C0638">
              <w:rPr>
                <w:rFonts w:ascii="Palatino Linotype" w:hAnsi="Palatino Linotype"/>
                <w:color w:val="auto"/>
              </w:rPr>
              <w:t xml:space="preserve"> provjere testa tri kriterijuma</w:t>
            </w:r>
            <w:r w:rsidRPr="006C0638">
              <w:rPr>
                <w:rFonts w:ascii="Palatino Linotype" w:hAnsi="Palatino Linotype"/>
                <w:color w:val="auto"/>
              </w:rPr>
              <w:t xml:space="preserve">, željeli bismo da ponovimo ranije izrečene stavove da, posebno kada su u pitanju tržišta lokalnog pristupa i tržišta centralnog pristupa na fiksnoj lokaciji za proizvode za masovno tržište, treba uvažiti neke specifičnosti crnogorskog tržišta. </w:t>
            </w:r>
          </w:p>
          <w:p w:rsidR="00696CE3" w:rsidRPr="006C0638" w:rsidRDefault="00696CE3" w:rsidP="006C0638">
            <w:pPr>
              <w:pStyle w:val="NoSpacing"/>
              <w:jc w:val="both"/>
              <w:rPr>
                <w:rFonts w:ascii="Palatino Linotype" w:hAnsi="Palatino Linotype"/>
                <w:color w:val="auto"/>
              </w:rPr>
            </w:pPr>
          </w:p>
          <w:p w:rsidR="00696CE3" w:rsidRPr="006C0638" w:rsidRDefault="00AE02D2" w:rsidP="006C0638">
            <w:pPr>
              <w:pStyle w:val="NoSpacing"/>
              <w:jc w:val="both"/>
              <w:rPr>
                <w:rFonts w:ascii="Palatino Linotype" w:hAnsi="Palatino Linotype"/>
                <w:color w:val="auto"/>
              </w:rPr>
            </w:pPr>
            <w:r w:rsidRPr="006C0638">
              <w:rPr>
                <w:rFonts w:ascii="Palatino Linotype" w:hAnsi="Palatino Linotype"/>
                <w:color w:val="auto"/>
              </w:rPr>
              <w:t>Bez obzira na praksu evropskih regulatora, pa i princip tehnološke neutralnosti, treba razmisliti o drugačijem definisanju sadržine relevantnih veleprodajnih tržišta.</w:t>
            </w:r>
            <w:r w:rsidR="00AF59C5" w:rsidRPr="006C0638">
              <w:rPr>
                <w:rFonts w:ascii="Palatino Linotype" w:hAnsi="Palatino Linotype"/>
                <w:color w:val="auto"/>
              </w:rPr>
              <w:t xml:space="preserve"> </w:t>
            </w:r>
            <w:r w:rsidRPr="006C0638">
              <w:rPr>
                <w:rFonts w:ascii="Palatino Linotype" w:hAnsi="Palatino Linotype"/>
                <w:color w:val="auto"/>
              </w:rPr>
              <w:t>Kada se sagleda period od 2011. godine do danas, od kada postoje veleprodajni produkti lokalnog i centralnog pristupa</w:t>
            </w:r>
            <w:r w:rsidR="00AF59C5" w:rsidRPr="006C0638">
              <w:rPr>
                <w:rFonts w:ascii="Palatino Linotype" w:hAnsi="Palatino Linotype"/>
                <w:color w:val="auto"/>
              </w:rPr>
              <w:t>,</w:t>
            </w:r>
            <w:r w:rsidRPr="006C0638">
              <w:rPr>
                <w:rFonts w:ascii="Palatino Linotype" w:hAnsi="Palatino Linotype"/>
                <w:color w:val="auto"/>
              </w:rPr>
              <w:t xml:space="preserve"> koje Telekom nudi u svojim Referentnim ponudama, jasno je da drugi </w:t>
            </w:r>
            <w:r w:rsidR="00D13F47" w:rsidRPr="006C0638">
              <w:rPr>
                <w:rFonts w:ascii="Palatino Linotype" w:hAnsi="Palatino Linotype"/>
                <w:color w:val="auto"/>
              </w:rPr>
              <w:t xml:space="preserve"> operatori nijesu zainteresovani za te produkte</w:t>
            </w:r>
            <w:r w:rsidR="00AF59C5" w:rsidRPr="006C0638">
              <w:rPr>
                <w:rFonts w:ascii="Palatino Linotype" w:hAnsi="Palatino Linotype"/>
                <w:color w:val="auto"/>
              </w:rPr>
              <w:t xml:space="preserve"> (izuzev </w:t>
            </w:r>
            <w:r w:rsidR="00D13F47" w:rsidRPr="006C0638">
              <w:rPr>
                <w:rFonts w:ascii="Palatino Linotype" w:hAnsi="Palatino Linotype"/>
                <w:color w:val="auto"/>
              </w:rPr>
              <w:t>zakupa kablovske kanalizacije), da se tržišta koja se se zasnivaju na uslugama putem bakra ne razvijaju ali je zato konkurencija na tržištima proizvoda koji se pružaju putem drugih tehnologija veoma jaka. Tako da smatramo da kao crnogorsku specifičnost treba uvažiti tu činjenicu i razdvojiti tržišta prema tehnologiji da pristup</w:t>
            </w:r>
            <w:r w:rsidR="00AF59C5" w:rsidRPr="006C0638">
              <w:rPr>
                <w:rFonts w:ascii="Palatino Linotype" w:hAnsi="Palatino Linotype"/>
                <w:color w:val="auto"/>
              </w:rPr>
              <w:t xml:space="preserve"> putem bakarne parice bude nezav</w:t>
            </w:r>
            <w:r w:rsidR="00D13F47" w:rsidRPr="006C0638">
              <w:rPr>
                <w:rFonts w:ascii="Palatino Linotype" w:hAnsi="Palatino Linotype"/>
                <w:color w:val="auto"/>
              </w:rPr>
              <w:t xml:space="preserve">isno tržište. </w:t>
            </w:r>
          </w:p>
          <w:p w:rsidR="00696CE3" w:rsidRPr="006C0638" w:rsidRDefault="00696CE3" w:rsidP="006C0638">
            <w:pPr>
              <w:pStyle w:val="NoSpacing"/>
              <w:jc w:val="both"/>
              <w:rPr>
                <w:rFonts w:ascii="Palatino Linotype" w:hAnsi="Palatino Linotype"/>
                <w:color w:val="auto"/>
              </w:rPr>
            </w:pPr>
          </w:p>
          <w:p w:rsidR="00AE02D2" w:rsidRPr="006C0638" w:rsidRDefault="00D13F47" w:rsidP="006C0638">
            <w:pPr>
              <w:pStyle w:val="NoSpacing"/>
              <w:jc w:val="both"/>
              <w:rPr>
                <w:rFonts w:ascii="Palatino Linotype" w:hAnsi="Palatino Linotype"/>
                <w:color w:val="auto"/>
              </w:rPr>
            </w:pPr>
            <w:r w:rsidRPr="006C0638">
              <w:rPr>
                <w:rFonts w:ascii="Palatino Linotype" w:hAnsi="Palatino Linotype"/>
                <w:color w:val="auto"/>
              </w:rPr>
              <w:t>U tom slučaju bi, vjerujemo</w:t>
            </w:r>
            <w:r w:rsidR="00AF59C5" w:rsidRPr="006C0638">
              <w:rPr>
                <w:rFonts w:ascii="Palatino Linotype" w:hAnsi="Palatino Linotype"/>
                <w:color w:val="auto"/>
              </w:rPr>
              <w:t>,</w:t>
            </w:r>
            <w:r w:rsidRPr="006C0638">
              <w:rPr>
                <w:rFonts w:ascii="Palatino Linotype" w:hAnsi="Palatino Linotype"/>
                <w:color w:val="auto"/>
              </w:rPr>
              <w:t xml:space="preserve"> Agencija</w:t>
            </w:r>
            <w:r w:rsidR="00AF59C5" w:rsidRPr="006C0638">
              <w:rPr>
                <w:rFonts w:ascii="Palatino Linotype" w:hAnsi="Palatino Linotype"/>
                <w:color w:val="auto"/>
              </w:rPr>
              <w:t>,</w:t>
            </w:r>
            <w:r w:rsidRPr="006C0638">
              <w:rPr>
                <w:rFonts w:ascii="Palatino Linotype" w:hAnsi="Palatino Linotype"/>
                <w:color w:val="auto"/>
              </w:rPr>
              <w:t xml:space="preserve"> sagledavajući podatke o tržišnom učešću FTTx provajdera i tzv.kablovaca</w:t>
            </w:r>
            <w:r w:rsidR="00AF59C5" w:rsidRPr="006C0638">
              <w:rPr>
                <w:rFonts w:ascii="Palatino Linotype" w:hAnsi="Palatino Linotype"/>
                <w:color w:val="auto"/>
              </w:rPr>
              <w:t>,</w:t>
            </w:r>
            <w:r w:rsidRPr="006C0638">
              <w:rPr>
                <w:rFonts w:ascii="Palatino Linotype" w:hAnsi="Palatino Linotype"/>
                <w:color w:val="auto"/>
              </w:rPr>
              <w:t xml:space="preserve"> došla do sasvim drugog zaključka i o postojanju operatora sa značajnom tržišnom snagom i o konkurentnosti tržišta, te potrebi nametanja regulatornih obaveza drugačijih od onih nametnutih  krajem 2017. godine.</w:t>
            </w:r>
          </w:p>
        </w:tc>
        <w:tc>
          <w:tcPr>
            <w:tcW w:w="2557" w:type="pct"/>
            <w:tcBorders>
              <w:top w:val="single" w:sz="4" w:space="0" w:color="auto"/>
              <w:left w:val="single" w:sz="4" w:space="0" w:color="auto"/>
              <w:bottom w:val="single" w:sz="4" w:space="0" w:color="auto"/>
              <w:right w:val="single" w:sz="4" w:space="0" w:color="auto"/>
            </w:tcBorders>
          </w:tcPr>
          <w:p w:rsidR="00665FAA" w:rsidRPr="006C0638" w:rsidRDefault="00665FAA" w:rsidP="006C0638">
            <w:pPr>
              <w:pStyle w:val="NoSpacing"/>
              <w:jc w:val="both"/>
              <w:rPr>
                <w:rFonts w:ascii="Palatino Linotype" w:hAnsi="Palatino Linotype"/>
                <w:color w:val="auto"/>
              </w:rPr>
            </w:pPr>
            <w:r w:rsidRPr="006C0638">
              <w:rPr>
                <w:rFonts w:ascii="Palatino Linotype" w:hAnsi="Palatino Linotype"/>
                <w:color w:val="auto"/>
              </w:rPr>
              <w:t>Crnogorski Telekom u svom dopisu nije izrazio neslaganje sa listom relevantnih tržišta sad</w:t>
            </w:r>
            <w:r w:rsidR="005C1863" w:rsidRPr="006C0638">
              <w:rPr>
                <w:rFonts w:ascii="Palatino Linotype" w:hAnsi="Palatino Linotype"/>
                <w:color w:val="auto"/>
              </w:rPr>
              <w:t xml:space="preserve">ržanih u nacrtu Odluke Agencije, koji je bio predmet ovog javnog konsultativnog postupka. </w:t>
            </w:r>
            <w:r w:rsidRPr="006C0638">
              <w:rPr>
                <w:rFonts w:ascii="Palatino Linotype" w:hAnsi="Palatino Linotype"/>
                <w:color w:val="auto"/>
              </w:rPr>
              <w:t>Naime, komentar se više odnosi</w:t>
            </w:r>
            <w:r w:rsidR="005C1863" w:rsidRPr="006C0638">
              <w:rPr>
                <w:rFonts w:ascii="Palatino Linotype" w:hAnsi="Palatino Linotype"/>
                <w:color w:val="auto"/>
              </w:rPr>
              <w:t>o</w:t>
            </w:r>
            <w:r w:rsidRPr="006C0638">
              <w:rPr>
                <w:rFonts w:ascii="Palatino Linotype" w:hAnsi="Palatino Linotype"/>
                <w:color w:val="auto"/>
              </w:rPr>
              <w:t xml:space="preserve"> na preporuku Agenciji da se u postupku definicije pojedinih relevantnih tržišta</w:t>
            </w:r>
            <w:r w:rsidR="005C1863" w:rsidRPr="006C0638">
              <w:rPr>
                <w:rFonts w:ascii="Palatino Linotype" w:hAnsi="Palatino Linotype"/>
                <w:color w:val="auto"/>
              </w:rPr>
              <w:t xml:space="preserve">, a </w:t>
            </w:r>
            <w:r w:rsidRPr="006C0638">
              <w:rPr>
                <w:rFonts w:ascii="Palatino Linotype" w:hAnsi="Palatino Linotype"/>
                <w:color w:val="auto"/>
              </w:rPr>
              <w:t xml:space="preserve"> koji predstoji nakon usvajanja finalnog testa Odluke o relevantnim tržištima, uvaže specifičnosti crnogorskog tržišta elektronskih komunikacionih usluga. </w:t>
            </w:r>
          </w:p>
          <w:p w:rsidR="004A3FDD" w:rsidRPr="006C0638" w:rsidRDefault="004A3FDD" w:rsidP="006C0638">
            <w:pPr>
              <w:pStyle w:val="NoSpacing"/>
              <w:jc w:val="both"/>
              <w:rPr>
                <w:rFonts w:ascii="Palatino Linotype" w:hAnsi="Palatino Linotype"/>
                <w:color w:val="auto"/>
                <w:lang w:val="sr-Latn-CS"/>
              </w:rPr>
            </w:pPr>
          </w:p>
          <w:p w:rsidR="004A3FDD" w:rsidRPr="006C0638" w:rsidRDefault="004A3FDD" w:rsidP="006C0638">
            <w:pPr>
              <w:pStyle w:val="NoSpacing"/>
              <w:jc w:val="both"/>
              <w:rPr>
                <w:rFonts w:ascii="Palatino Linotype" w:hAnsi="Palatino Linotype"/>
                <w:color w:val="auto"/>
                <w:lang w:val="sr-Latn-CS"/>
              </w:rPr>
            </w:pPr>
            <w:r w:rsidRPr="006C0638">
              <w:rPr>
                <w:rFonts w:ascii="Palatino Linotype" w:hAnsi="Palatino Linotype"/>
                <w:color w:val="auto"/>
                <w:lang w:val="sr-Latn-CS"/>
              </w:rPr>
              <w:t>Prema ustaljenoj praksi</w:t>
            </w:r>
            <w:r w:rsidR="005C1863" w:rsidRPr="006C0638">
              <w:rPr>
                <w:rFonts w:ascii="Palatino Linotype" w:hAnsi="Palatino Linotype"/>
                <w:color w:val="auto"/>
                <w:lang w:val="sr-Latn-CS"/>
              </w:rPr>
              <w:t xml:space="preserve"> i preporukama Evropske komisije</w:t>
            </w:r>
            <w:r w:rsidRPr="006C0638">
              <w:rPr>
                <w:rFonts w:ascii="Palatino Linotype" w:hAnsi="Palatino Linotype"/>
                <w:color w:val="auto"/>
                <w:lang w:val="sr-Latn-CS"/>
              </w:rPr>
              <w:t>, rel</w:t>
            </w:r>
            <w:r w:rsidR="005C1863" w:rsidRPr="006C0638">
              <w:rPr>
                <w:rFonts w:ascii="Palatino Linotype" w:hAnsi="Palatino Linotype"/>
                <w:color w:val="auto"/>
                <w:lang w:val="sr-Latn-CS"/>
              </w:rPr>
              <w:t>evantno tržište proizvoda/usluga</w:t>
            </w:r>
            <w:r w:rsidRPr="006C0638">
              <w:rPr>
                <w:rFonts w:ascii="Palatino Linotype" w:hAnsi="Palatino Linotype"/>
                <w:color w:val="auto"/>
                <w:lang w:val="sr-Latn-CS"/>
              </w:rPr>
              <w:t xml:space="preserve"> obuhvata sve one proizvode ili usluge koji se u dovoljnoj mjeri mogu zamijeniti jedni drugima, ne samo u pogledu objektivnih karakteristika, njihovih cijena ili namjene, već i u pogledu uslova konkurencije i/ili strukture ponude i tražnje na tržištu o kome je riječ. Proizvodi ili usluge koji  samo u relativno maloj mjeri mogu biti zamjena jedni drugima ne čine dio istog relevantnog tržišta. </w:t>
            </w:r>
          </w:p>
          <w:p w:rsidR="005C1863" w:rsidRPr="006C0638" w:rsidRDefault="005C1863" w:rsidP="006C0638">
            <w:pPr>
              <w:pStyle w:val="NoSpacing"/>
              <w:jc w:val="both"/>
              <w:rPr>
                <w:rFonts w:ascii="Palatino Linotype" w:hAnsi="Palatino Linotype"/>
                <w:color w:val="auto"/>
                <w:lang w:val="sr-Latn-CS"/>
              </w:rPr>
            </w:pPr>
          </w:p>
          <w:p w:rsidR="00C0456C" w:rsidRPr="006C0638" w:rsidRDefault="004A3FDD" w:rsidP="006C0638">
            <w:pPr>
              <w:pStyle w:val="NoSpacing"/>
              <w:jc w:val="both"/>
              <w:rPr>
                <w:rFonts w:ascii="Palatino Linotype" w:hAnsi="Palatino Linotype"/>
                <w:color w:val="auto"/>
              </w:rPr>
            </w:pPr>
            <w:r w:rsidRPr="006C0638">
              <w:rPr>
                <w:rFonts w:ascii="Palatino Linotype" w:hAnsi="Palatino Linotype"/>
                <w:color w:val="auto"/>
              </w:rPr>
              <w:t xml:space="preserve">Postupak definicije relevantnih tržišta se, kao i postupak analize </w:t>
            </w:r>
            <w:r w:rsidR="005C1863" w:rsidRPr="006C0638">
              <w:rPr>
                <w:rFonts w:ascii="Palatino Linotype" w:hAnsi="Palatino Linotype"/>
                <w:color w:val="auto"/>
              </w:rPr>
              <w:t xml:space="preserve">tržišta, sprovodi </w:t>
            </w:r>
            <w:r w:rsidRPr="006C0638">
              <w:rPr>
                <w:rFonts w:ascii="Palatino Linotype" w:hAnsi="Palatino Linotype"/>
                <w:color w:val="auto"/>
              </w:rPr>
              <w:t xml:space="preserve"> iz perspektive koja je usmjerena procjeni </w:t>
            </w:r>
            <w:r w:rsidR="006674B1" w:rsidRPr="006C0638">
              <w:rPr>
                <w:rFonts w:ascii="Palatino Linotype" w:hAnsi="Palatino Linotype"/>
                <w:color w:val="auto"/>
              </w:rPr>
              <w:t>uslova u budućem trogodišnjem periodu</w:t>
            </w:r>
            <w:r w:rsidRPr="006C0638">
              <w:rPr>
                <w:rFonts w:ascii="Palatino Linotype" w:hAnsi="Palatino Linotype"/>
                <w:color w:val="auto"/>
              </w:rPr>
              <w:t>, polazeći</w:t>
            </w:r>
            <w:r w:rsidR="006674B1" w:rsidRPr="006C0638">
              <w:rPr>
                <w:rFonts w:ascii="Palatino Linotype" w:hAnsi="Palatino Linotype"/>
                <w:color w:val="auto"/>
              </w:rPr>
              <w:t>, pritom,</w:t>
            </w:r>
            <w:r w:rsidRPr="006C0638">
              <w:rPr>
                <w:rFonts w:ascii="Palatino Linotype" w:hAnsi="Palatino Linotype"/>
                <w:color w:val="auto"/>
              </w:rPr>
              <w:t xml:space="preserve"> od postojećih tržišnih uslova.</w:t>
            </w:r>
            <w:r w:rsidR="005C1863" w:rsidRPr="006C0638">
              <w:rPr>
                <w:rFonts w:ascii="Palatino Linotype" w:hAnsi="Palatino Linotype"/>
                <w:color w:val="auto"/>
              </w:rPr>
              <w:t xml:space="preserve"> </w:t>
            </w:r>
            <w:r w:rsidR="006674B1" w:rsidRPr="006C0638">
              <w:rPr>
                <w:rFonts w:ascii="Palatino Linotype" w:hAnsi="Palatino Linotype"/>
                <w:color w:val="auto"/>
              </w:rPr>
              <w:t xml:space="preserve">Medjutim, saglasno Smjernicama Evropske komisije o sprovođenju </w:t>
            </w:r>
            <w:r w:rsidR="005C1863" w:rsidRPr="006C0638">
              <w:rPr>
                <w:rFonts w:ascii="Palatino Linotype" w:hAnsi="Palatino Linotype"/>
                <w:color w:val="auto"/>
              </w:rPr>
              <w:t>a</w:t>
            </w:r>
            <w:r w:rsidR="006674B1" w:rsidRPr="006C0638">
              <w:rPr>
                <w:rFonts w:ascii="Palatino Linotype" w:hAnsi="Palatino Linotype"/>
                <w:color w:val="auto"/>
              </w:rPr>
              <w:t>naliza relevantnih tržišta, preporuka regulatorima je da, i</w:t>
            </w:r>
            <w:r w:rsidR="00665FAA" w:rsidRPr="006C0638">
              <w:rPr>
                <w:rFonts w:ascii="Palatino Linotype" w:hAnsi="Palatino Linotype"/>
                <w:color w:val="auto"/>
              </w:rPr>
              <w:t xml:space="preserve">ako analiza potencijalnih tržišnih uslova može u nekim slučajevima voditi definiciji tržišta koja se razlikuje od one zasnovane na ranijem ponašanju, </w:t>
            </w:r>
            <w:r w:rsidR="006674B1" w:rsidRPr="006C0638">
              <w:rPr>
                <w:rFonts w:ascii="Palatino Linotype" w:hAnsi="Palatino Linotype"/>
                <w:color w:val="auto"/>
              </w:rPr>
              <w:t>u najvećoj mogućoj mjeri sačuvaju doslij</w:t>
            </w:r>
            <w:r w:rsidR="00665FAA" w:rsidRPr="006C0638">
              <w:rPr>
                <w:rFonts w:ascii="Palatino Linotype" w:hAnsi="Palatino Linotype"/>
                <w:color w:val="auto"/>
              </w:rPr>
              <w:t xml:space="preserve">ednost metodologije, </w:t>
            </w:r>
            <w:r w:rsidR="006674B1" w:rsidRPr="006C0638">
              <w:rPr>
                <w:rFonts w:ascii="Palatino Linotype" w:hAnsi="Palatino Linotype"/>
                <w:color w:val="auto"/>
              </w:rPr>
              <w:t xml:space="preserve">usvojene </w:t>
            </w:r>
            <w:r w:rsidR="00665FAA" w:rsidRPr="006C0638">
              <w:rPr>
                <w:rFonts w:ascii="Palatino Linotype" w:hAnsi="Palatino Linotype"/>
                <w:color w:val="auto"/>
              </w:rPr>
              <w:t xml:space="preserve"> na osnovu definicija tržišta urađenih za potrebe </w:t>
            </w:r>
            <w:r w:rsidR="00665FAA" w:rsidRPr="006C0638">
              <w:rPr>
                <w:rFonts w:ascii="Palatino Linotype" w:hAnsi="Palatino Linotype"/>
                <w:i/>
                <w:color w:val="auto"/>
              </w:rPr>
              <w:t xml:space="preserve">ex-ante </w:t>
            </w:r>
            <w:r w:rsidR="006674B1" w:rsidRPr="006C0638">
              <w:rPr>
                <w:rFonts w:ascii="Palatino Linotype" w:hAnsi="Palatino Linotype"/>
                <w:color w:val="auto"/>
              </w:rPr>
              <w:t xml:space="preserve">regulative. </w:t>
            </w:r>
            <w:r w:rsidR="00665FAA" w:rsidRPr="006C0638">
              <w:rPr>
                <w:rFonts w:ascii="Palatino Linotype" w:hAnsi="Palatino Linotype"/>
                <w:color w:val="auto"/>
              </w:rPr>
              <w:t xml:space="preserve"> </w:t>
            </w:r>
          </w:p>
          <w:p w:rsidR="006674B1" w:rsidRPr="006C0638" w:rsidRDefault="006674B1" w:rsidP="006C0638">
            <w:pPr>
              <w:pStyle w:val="NoSpacing"/>
              <w:jc w:val="both"/>
              <w:rPr>
                <w:rFonts w:ascii="Palatino Linotype" w:hAnsi="Palatino Linotype"/>
                <w:color w:val="auto"/>
              </w:rPr>
            </w:pPr>
            <w:r w:rsidRPr="006C0638">
              <w:rPr>
                <w:rFonts w:ascii="Palatino Linotype" w:hAnsi="Palatino Linotype"/>
                <w:color w:val="auto"/>
              </w:rPr>
              <w:lastRenderedPageBreak/>
              <w:t>Na kraju, Agencija</w:t>
            </w:r>
            <w:r w:rsidR="00763220">
              <w:rPr>
                <w:rFonts w:ascii="Palatino Linotype" w:hAnsi="Palatino Linotype"/>
                <w:color w:val="auto"/>
              </w:rPr>
              <w:t xml:space="preserve"> uvijek sa posebnom pažnjom sprovodi postupak definicije relevantnog tržiša jer je </w:t>
            </w:r>
            <w:r w:rsidRPr="006C0638">
              <w:rPr>
                <w:rFonts w:ascii="Palatino Linotype" w:hAnsi="Palatino Linotype"/>
                <w:color w:val="auto"/>
              </w:rPr>
              <w:t xml:space="preserve"> svjesna činjenice da</w:t>
            </w:r>
            <w:r w:rsidR="005C1863" w:rsidRPr="006C0638">
              <w:rPr>
                <w:rFonts w:ascii="Palatino Linotype" w:hAnsi="Palatino Linotype"/>
                <w:color w:val="auto"/>
              </w:rPr>
              <w:t xml:space="preserve"> </w:t>
            </w:r>
            <w:r w:rsidRPr="006C0638">
              <w:rPr>
                <w:rFonts w:ascii="Palatino Linotype" w:hAnsi="Palatino Linotype"/>
                <w:color w:val="auto"/>
              </w:rPr>
              <w:t>u sektoru</w:t>
            </w:r>
            <w:r w:rsidR="00696CE3" w:rsidRPr="006C0638">
              <w:rPr>
                <w:rFonts w:ascii="Palatino Linotype" w:hAnsi="Palatino Linotype"/>
                <w:color w:val="auto"/>
              </w:rPr>
              <w:t>,</w:t>
            </w:r>
            <w:r w:rsidRPr="006C0638">
              <w:rPr>
                <w:rFonts w:ascii="Palatino Linotype" w:hAnsi="Palatino Linotype"/>
                <w:color w:val="auto"/>
              </w:rPr>
              <w:t xml:space="preserve"> koji karakterišu stalne inovacije i ubrzana tehnološka konvergencija, uvijek postoji rizik da svaka aktuelna definicija tržišta već u bliskoj budućnosti postane neprecizna ili irelevantna.  </w:t>
            </w:r>
          </w:p>
          <w:p w:rsidR="00DD58EF" w:rsidRPr="006C0638" w:rsidRDefault="00DD58EF" w:rsidP="006C0638">
            <w:pPr>
              <w:pStyle w:val="NoSpacing"/>
              <w:jc w:val="both"/>
              <w:rPr>
                <w:rFonts w:ascii="Palatino Linotype" w:hAnsi="Palatino Linotype"/>
                <w:color w:val="auto"/>
              </w:rPr>
            </w:pPr>
          </w:p>
        </w:tc>
      </w:tr>
    </w:tbl>
    <w:p w:rsidR="00CD035A" w:rsidRDefault="00CD035A"/>
    <w:sectPr w:rsidR="00CD035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0B0B" w:rsidRDefault="00710B0B" w:rsidP="008C544F">
      <w:pPr>
        <w:spacing w:after="0" w:line="240" w:lineRule="auto"/>
      </w:pPr>
      <w:r>
        <w:separator/>
      </w:r>
    </w:p>
  </w:endnote>
  <w:endnote w:type="continuationSeparator" w:id="0">
    <w:p w:rsidR="00710B0B" w:rsidRDefault="00710B0B" w:rsidP="008C5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ele-GroteskEERegular">
    <w:altName w:val="Arial"/>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T1F3Eo00">
    <w:altName w:val="Times New Roman"/>
    <w:panose1 w:val="00000000000000000000"/>
    <w:charset w:val="EE"/>
    <w:family w:val="auto"/>
    <w:notTrueType/>
    <w:pitch w:val="default"/>
    <w:sig w:usb0="00000005" w:usb1="00000000" w:usb2="00000000" w:usb3="00000000" w:csb0="00000002" w:csb1="00000000"/>
  </w:font>
  <w:font w:name="Palatino Linotype,Bold">
    <w:panose1 w:val="00000000000000000000"/>
    <w:charset w:val="00"/>
    <w:family w:val="swiss"/>
    <w:notTrueType/>
    <w:pitch w:val="default"/>
    <w:sig w:usb0="00000003" w:usb1="00000000" w:usb2="00000000" w:usb3="00000000" w:csb0="00000001" w:csb1="00000000"/>
  </w:font>
  <w:font w:name="PalatinoLinotype-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7322444"/>
      <w:docPartObj>
        <w:docPartGallery w:val="Page Numbers (Bottom of Page)"/>
        <w:docPartUnique/>
      </w:docPartObj>
    </w:sdtPr>
    <w:sdtEndPr>
      <w:rPr>
        <w:noProof/>
      </w:rPr>
    </w:sdtEndPr>
    <w:sdtContent>
      <w:p w:rsidR="008C544F" w:rsidRDefault="008C544F">
        <w:pPr>
          <w:pStyle w:val="Footer"/>
          <w:jc w:val="right"/>
        </w:pPr>
        <w:r>
          <w:fldChar w:fldCharType="begin"/>
        </w:r>
        <w:r>
          <w:instrText xml:space="preserve"> PAGE   \* MERGEFORMAT </w:instrText>
        </w:r>
        <w:r>
          <w:fldChar w:fldCharType="separate"/>
        </w:r>
        <w:r w:rsidR="00C56ECF">
          <w:rPr>
            <w:noProof/>
          </w:rPr>
          <w:t>3</w:t>
        </w:r>
        <w:r>
          <w:rPr>
            <w:noProof/>
          </w:rPr>
          <w:fldChar w:fldCharType="end"/>
        </w:r>
      </w:p>
    </w:sdtContent>
  </w:sdt>
  <w:p w:rsidR="008C544F" w:rsidRDefault="008C54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0B0B" w:rsidRDefault="00710B0B" w:rsidP="008C544F">
      <w:pPr>
        <w:spacing w:after="0" w:line="240" w:lineRule="auto"/>
      </w:pPr>
      <w:r>
        <w:separator/>
      </w:r>
    </w:p>
  </w:footnote>
  <w:footnote w:type="continuationSeparator" w:id="0">
    <w:p w:rsidR="00710B0B" w:rsidRDefault="00710B0B" w:rsidP="008C54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0C57"/>
    <w:rsid w:val="000D524B"/>
    <w:rsid w:val="00111993"/>
    <w:rsid w:val="00126D6F"/>
    <w:rsid w:val="004A3FDD"/>
    <w:rsid w:val="005234DD"/>
    <w:rsid w:val="00531D6B"/>
    <w:rsid w:val="005C1863"/>
    <w:rsid w:val="00665FAA"/>
    <w:rsid w:val="006674B1"/>
    <w:rsid w:val="006903C0"/>
    <w:rsid w:val="00696CE3"/>
    <w:rsid w:val="006C0638"/>
    <w:rsid w:val="00710B0B"/>
    <w:rsid w:val="00763220"/>
    <w:rsid w:val="00775100"/>
    <w:rsid w:val="007B48F1"/>
    <w:rsid w:val="008C544F"/>
    <w:rsid w:val="00923A10"/>
    <w:rsid w:val="009A0C57"/>
    <w:rsid w:val="009F41DF"/>
    <w:rsid w:val="00A555AE"/>
    <w:rsid w:val="00AE02D2"/>
    <w:rsid w:val="00AF59C5"/>
    <w:rsid w:val="00B101D7"/>
    <w:rsid w:val="00BC0BAE"/>
    <w:rsid w:val="00C0456C"/>
    <w:rsid w:val="00C56ECF"/>
    <w:rsid w:val="00CD035A"/>
    <w:rsid w:val="00D13F47"/>
    <w:rsid w:val="00D7583F"/>
    <w:rsid w:val="00DB6F6A"/>
    <w:rsid w:val="00DD58EF"/>
    <w:rsid w:val="00E63EF8"/>
    <w:rsid w:val="00FA2FAF"/>
    <w:rsid w:val="00FE7E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5B18D3-B7BE-45BA-AFE7-8CAD9C5D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5AE"/>
    <w:pPr>
      <w:spacing w:after="200" w:line="276" w:lineRule="auto"/>
    </w:pPr>
    <w:rPr>
      <w:rFonts w:eastAsiaTheme="minorEastAsia"/>
      <w:lang w:val="sr-Latn-CS"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555AE"/>
    <w:pPr>
      <w:keepLines/>
      <w:tabs>
        <w:tab w:val="right" w:pos="9360"/>
      </w:tabs>
      <w:spacing w:after="0" w:line="240" w:lineRule="auto"/>
      <w:jc w:val="both"/>
    </w:pPr>
    <w:rPr>
      <w:rFonts w:ascii="Arial" w:eastAsia="Times New Roman" w:hAnsi="Arial" w:cs="Arial"/>
      <w:szCs w:val="18"/>
      <w:lang w:eastAsia="en-US"/>
    </w:rPr>
  </w:style>
  <w:style w:type="character" w:customStyle="1" w:styleId="FooterChar">
    <w:name w:val="Footer Char"/>
    <w:basedOn w:val="DefaultParagraphFont"/>
    <w:link w:val="Footer"/>
    <w:uiPriority w:val="99"/>
    <w:rsid w:val="00A555AE"/>
    <w:rPr>
      <w:rFonts w:ascii="Arial" w:eastAsia="Times New Roman" w:hAnsi="Arial" w:cs="Arial"/>
      <w:szCs w:val="18"/>
      <w:lang w:val="sr-Latn-CS"/>
    </w:rPr>
  </w:style>
  <w:style w:type="character" w:customStyle="1" w:styleId="NoSpacingChar">
    <w:name w:val="No Spacing Char"/>
    <w:basedOn w:val="DefaultParagraphFont"/>
    <w:link w:val="NoSpacing"/>
    <w:uiPriority w:val="1"/>
    <w:locked/>
    <w:rsid w:val="00A555AE"/>
    <w:rPr>
      <w:rFonts w:ascii="Calibri" w:eastAsia="Times New Roman" w:hAnsi="Calibri" w:cs="Times New Roman"/>
      <w:noProof/>
    </w:rPr>
  </w:style>
  <w:style w:type="paragraph" w:styleId="NoSpacing">
    <w:name w:val="No Spacing"/>
    <w:link w:val="NoSpacingChar"/>
    <w:uiPriority w:val="1"/>
    <w:qFormat/>
    <w:rsid w:val="00A555AE"/>
    <w:pPr>
      <w:spacing w:after="0" w:line="240" w:lineRule="auto"/>
    </w:pPr>
    <w:rPr>
      <w:rFonts w:ascii="Calibri" w:eastAsia="Times New Roman" w:hAnsi="Calibri" w:cs="Times New Roman"/>
      <w:noProof/>
    </w:rPr>
  </w:style>
  <w:style w:type="paragraph" w:customStyle="1" w:styleId="Default">
    <w:name w:val="Default"/>
    <w:rsid w:val="00A555AE"/>
    <w:pPr>
      <w:autoSpaceDE w:val="0"/>
      <w:autoSpaceDN w:val="0"/>
      <w:adjustRightInd w:val="0"/>
      <w:spacing w:after="0" w:line="240" w:lineRule="auto"/>
    </w:pPr>
    <w:rPr>
      <w:rFonts w:ascii="Tele-GroteskEERegular" w:eastAsiaTheme="minorEastAsia" w:hAnsi="Tele-GroteskEERegular" w:cs="Tele-GroteskEERegular"/>
      <w:color w:val="000000"/>
      <w:sz w:val="24"/>
      <w:szCs w:val="24"/>
      <w:lang w:val="sr-Latn-CS" w:eastAsia="sr-Latn-CS"/>
    </w:rPr>
  </w:style>
  <w:style w:type="table" w:styleId="TableGrid">
    <w:name w:val="Table Grid"/>
    <w:basedOn w:val="TableNormal"/>
    <w:uiPriority w:val="59"/>
    <w:rsid w:val="00A555AE"/>
    <w:pPr>
      <w:spacing w:after="0" w:line="240" w:lineRule="auto"/>
    </w:pPr>
    <w:rPr>
      <w:rFonts w:ascii="Calibri" w:hAnsi="Calibri"/>
      <w:color w:val="00B05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4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44F"/>
    <w:rPr>
      <w:rFonts w:eastAsiaTheme="minorEastAsia"/>
      <w:lang w:val="sr-Latn-CS"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337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3215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Ranka Drecun</dc:creator>
  <cp:keywords/>
  <dc:description/>
  <cp:lastModifiedBy>Ranka Drecun</cp:lastModifiedBy>
  <cp:revision>2</cp:revision>
  <dcterms:created xsi:type="dcterms:W3CDTF">2021-04-02T09:31:00Z</dcterms:created>
  <dcterms:modified xsi:type="dcterms:W3CDTF">2021-04-02T09:31:00Z</dcterms:modified>
</cp:coreProperties>
</file>